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1C197" w14:textId="77777777" w:rsidR="007D3918" w:rsidRPr="00AB221B" w:rsidRDefault="007D3918" w:rsidP="007D3918">
      <w:pPr>
        <w:rPr>
          <w:rFonts w:ascii="Times New Roman" w:hAnsi="Times New Roman" w:cs="Times New Roman"/>
          <w:b/>
          <w:i/>
          <w:iCs/>
        </w:rPr>
      </w:pPr>
      <w:r>
        <w:rPr>
          <w:rFonts w:ascii="Times New Roman" w:hAnsi="Times New Roman" w:cs="Times New Roman"/>
          <w:b/>
        </w:rPr>
        <w:t xml:space="preserve">Draft text for </w:t>
      </w:r>
      <w:r w:rsidRPr="00AB221B">
        <w:rPr>
          <w:rFonts w:ascii="Times New Roman" w:hAnsi="Times New Roman" w:cs="Times New Roman"/>
          <w:b/>
          <w:iCs/>
        </w:rPr>
        <w:t xml:space="preserve">Amendment 126 to the Fishery Management Plans for Groundfish of the Bering Sea / Aleutian Islands Management Area </w:t>
      </w:r>
    </w:p>
    <w:p w14:paraId="586C9AEA" w14:textId="77777777" w:rsidR="007D3918" w:rsidRPr="00570C83" w:rsidRDefault="007D3918" w:rsidP="007D3918">
      <w:pPr>
        <w:spacing w:line="240" w:lineRule="auto"/>
        <w:rPr>
          <w:rFonts w:ascii="Times New Roman" w:hAnsi="Times New Roman" w:cs="Times New Roman"/>
        </w:rPr>
      </w:pPr>
      <w:r w:rsidRPr="00AB221B">
        <w:rPr>
          <w:rFonts w:ascii="Times New Roman" w:hAnsi="Times New Roman" w:cs="Times New Roman"/>
        </w:rPr>
        <w:t>1. In Section 3.9.2 add the text in bold:</w:t>
      </w:r>
    </w:p>
    <w:p w14:paraId="597FF3C6" w14:textId="187BA097" w:rsidR="007D3918" w:rsidRPr="00D11379" w:rsidRDefault="007D3918" w:rsidP="007D3918">
      <w:pPr>
        <w:spacing w:after="0" w:line="240" w:lineRule="auto"/>
        <w:rPr>
          <w:rFonts w:ascii="Times New Roman" w:eastAsia="Times New Roman" w:hAnsi="Times New Roman" w:cs="Times New Roman"/>
          <w:b/>
        </w:rPr>
      </w:pPr>
      <w:r w:rsidRPr="00AB221B">
        <w:rPr>
          <w:rFonts w:ascii="Times New Roman" w:eastAsia="Times New Roman" w:hAnsi="Times New Roman" w:cs="Times New Roman"/>
        </w:rPr>
        <w:t>3.9.2 Observer Program</w:t>
      </w:r>
      <w:r w:rsidRPr="00AB221B">
        <w:rPr>
          <w:rFonts w:ascii="Times New Roman" w:eastAsia="Times New Roman" w:hAnsi="Times New Roman" w:cs="Times New Roman"/>
        </w:rPr>
        <w:br/>
        <w:t xml:space="preserve">The Council and NMFS must have the best available biological and socioeconomic information with which to carry out their responsibilities for conserving and managing groundfish resources. The purpose of the Observer Program is to verify catch composition and quantity, including those discarded at sea, and collect biological information on marine resources. Used in conjunction with reporting and weighing requirements, the information collected by observers or electronic monitoring systems provides the foundation for </w:t>
      </w:r>
      <w:proofErr w:type="spellStart"/>
      <w:r w:rsidRPr="00AB221B">
        <w:rPr>
          <w:rFonts w:ascii="Times New Roman" w:eastAsia="Times New Roman" w:hAnsi="Times New Roman" w:cs="Times New Roman"/>
        </w:rPr>
        <w:t>inseason</w:t>
      </w:r>
      <w:proofErr w:type="spellEnd"/>
      <w:r w:rsidRPr="00AB221B">
        <w:rPr>
          <w:rFonts w:ascii="Times New Roman" w:eastAsia="Times New Roman" w:hAnsi="Times New Roman" w:cs="Times New Roman"/>
        </w:rPr>
        <w:t xml:space="preserve"> management and for tracking species-specific catch and bycatch amounts. Scientists use information collected by observers or electronic monitoring systems for stock assessments and marine ecosystem research.</w:t>
      </w:r>
      <w:r w:rsidRPr="00AB221B">
        <w:rPr>
          <w:rFonts w:ascii="Times New Roman" w:eastAsia="Times New Roman" w:hAnsi="Times New Roman" w:cs="Times New Roman"/>
        </w:rPr>
        <w:br/>
        <w:t>To address management and scientific information needs, all vessels fishing for groundfish with a Federal Fishing Permit in Federal waters or in a State of Alaska parallel fishery, and all vessels fishing halibut or sablefish IFQ in Federal or State waters, and shoreside processors that have a Federal Processor Permit or Registered Buyer Permit are included in the Observer Program. All these vessels and processors may be required to accommodate one or more NMFS-certified observers or an electronic monitoring system. Provisions of the North Pacific Observer Program are developed in consultation with the Council and established in regulations.</w:t>
      </w:r>
      <w:r w:rsidRPr="00AB221B">
        <w:rPr>
          <w:rFonts w:ascii="Times New Roman" w:eastAsia="Times New Roman" w:hAnsi="Times New Roman" w:cs="Times New Roman"/>
        </w:rPr>
        <w:br/>
        <w:t>All groundfish and halibut vessels and processors are included in one of two coverage categories: partial and full. Generally, catcher vessels and shoreside processors, when not participating in a catch share program with a transferrable PSC limit, are in the partial coverage category. Catcher processors and motherships, and catcher vessels and processors when participating in a catch share program with a transferrable PSC limit, generally are in the full observer coverage category. Some exceptions to these classifications are detailed in regulation.</w:t>
      </w:r>
      <w:r w:rsidRPr="00AB221B">
        <w:rPr>
          <w:rFonts w:ascii="Times New Roman" w:eastAsia="Times New Roman" w:hAnsi="Times New Roman" w:cs="Times New Roman"/>
        </w:rPr>
        <w:br/>
        <w:t>Vessels and processors in the partial coverage category are subject to an ex-vessel value based fee not to exceed 2%, as implemented and revised through regulations, and are required to carry an observer or electronic monitoring system as determined by NMFS. NMFS develops an Annual Deployment Plan and makes adjustments to the plan after scientific evaluation of data collected under the Observer Program. Vessels and processors in the full observer coverage category are required to obtain observer coverage by contracting directly with observer providers</w:t>
      </w:r>
      <w:r w:rsidRPr="00570C83">
        <w:rPr>
          <w:rFonts w:ascii="Times New Roman" w:eastAsia="Times New Roman" w:hAnsi="Times New Roman" w:cs="Times New Roman"/>
          <w:b/>
          <w:bCs/>
        </w:rPr>
        <w:t>,</w:t>
      </w:r>
      <w:r w:rsidRPr="00AB221B">
        <w:rPr>
          <w:rFonts w:ascii="Times New Roman" w:eastAsia="Times New Roman" w:hAnsi="Times New Roman" w:cs="Times New Roman"/>
        </w:rPr>
        <w:t xml:space="preserve"> </w:t>
      </w:r>
      <w:r w:rsidRPr="00AB221B">
        <w:rPr>
          <w:rFonts w:ascii="Times New Roman" w:eastAsia="Times New Roman" w:hAnsi="Times New Roman" w:cs="Times New Roman"/>
          <w:b/>
          <w:bCs/>
        </w:rPr>
        <w:t>or obtain electronic monitoring systems,</w:t>
      </w:r>
      <w:r w:rsidRPr="00AB221B">
        <w:rPr>
          <w:rFonts w:ascii="Times New Roman" w:eastAsia="Times New Roman" w:hAnsi="Times New Roman" w:cs="Times New Roman"/>
        </w:rPr>
        <w:t xml:space="preserve"> to meet coverage requirements in regulation. </w:t>
      </w:r>
      <w:r w:rsidR="00D11379" w:rsidRPr="00D11379">
        <w:rPr>
          <w:rFonts w:ascii="Times New Roman" w:eastAsia="Times New Roman" w:hAnsi="Times New Roman" w:cs="Times New Roman"/>
          <w:b/>
        </w:rPr>
        <w:t>Tender vessels may be required to carry electronic monitoring to meet monitoring objectives aboard vessels in the full or partial coverage category.</w:t>
      </w:r>
    </w:p>
    <w:p w14:paraId="1CB7DAEF" w14:textId="77777777" w:rsidR="007D3918" w:rsidRPr="00AB221B" w:rsidRDefault="007D3918" w:rsidP="007D3918">
      <w:pPr>
        <w:spacing w:after="0" w:line="240" w:lineRule="auto"/>
        <w:rPr>
          <w:rFonts w:ascii="Times New Roman" w:eastAsia="Times New Roman" w:hAnsi="Times New Roman" w:cs="Times New Roman"/>
        </w:rPr>
      </w:pPr>
    </w:p>
    <w:p w14:paraId="5456BACB" w14:textId="77777777" w:rsidR="007D3918" w:rsidRPr="00570C83" w:rsidRDefault="007D3918" w:rsidP="007D3918">
      <w:pPr>
        <w:spacing w:line="240" w:lineRule="auto"/>
        <w:rPr>
          <w:rFonts w:ascii="Times New Roman" w:hAnsi="Times New Roman" w:cs="Times New Roman"/>
        </w:rPr>
      </w:pPr>
      <w:r>
        <w:rPr>
          <w:rFonts w:ascii="Times New Roman" w:hAnsi="Times New Roman" w:cs="Times New Roman"/>
        </w:rPr>
        <w:t>2</w:t>
      </w:r>
      <w:r w:rsidRPr="00AB221B">
        <w:rPr>
          <w:rFonts w:ascii="Times New Roman" w:hAnsi="Times New Roman" w:cs="Times New Roman"/>
        </w:rPr>
        <w:t>. In Table ES-2, row “</w:t>
      </w:r>
      <w:r>
        <w:rPr>
          <w:rFonts w:ascii="Times New Roman" w:hAnsi="Times New Roman" w:cs="Times New Roman"/>
        </w:rPr>
        <w:t>O</w:t>
      </w:r>
      <w:r w:rsidRPr="00AB221B">
        <w:rPr>
          <w:rFonts w:ascii="Times New Roman" w:hAnsi="Times New Roman" w:cs="Times New Roman"/>
        </w:rPr>
        <w:t xml:space="preserve">bserver </w:t>
      </w:r>
      <w:r>
        <w:rPr>
          <w:rFonts w:ascii="Times New Roman" w:hAnsi="Times New Roman" w:cs="Times New Roman"/>
        </w:rPr>
        <w:t>P</w:t>
      </w:r>
      <w:r w:rsidRPr="00AB221B">
        <w:rPr>
          <w:rFonts w:ascii="Times New Roman" w:hAnsi="Times New Roman" w:cs="Times New Roman"/>
        </w:rPr>
        <w:t>rogram”</w:t>
      </w:r>
      <w:r>
        <w:rPr>
          <w:rFonts w:ascii="Times New Roman" w:hAnsi="Times New Roman" w:cs="Times New Roman"/>
        </w:rPr>
        <w:t>,</w:t>
      </w:r>
      <w:r w:rsidRPr="00AB221B">
        <w:rPr>
          <w:rFonts w:ascii="Times New Roman" w:hAnsi="Times New Roman" w:cs="Times New Roman"/>
        </w:rPr>
        <w:t xml:space="preserve"> add the text in bold</w:t>
      </w:r>
      <w:r>
        <w:rPr>
          <w:rFonts w:ascii="Times New Roman" w:hAnsi="Times New Roman" w:cs="Times New Roman"/>
        </w:rPr>
        <w:t>:</w:t>
      </w:r>
    </w:p>
    <w:p w14:paraId="1E48F1E3" w14:textId="1314F6CE" w:rsidR="007D3918" w:rsidRDefault="007D3918" w:rsidP="007D3918">
      <w:pPr>
        <w:rPr>
          <w:rStyle w:val="markedcontent"/>
          <w:rFonts w:ascii="Times New Roman" w:hAnsi="Times New Roman" w:cs="Times New Roman"/>
        </w:rPr>
      </w:pPr>
      <w:r w:rsidRPr="00AB221B">
        <w:rPr>
          <w:rStyle w:val="markedcontent"/>
          <w:rFonts w:ascii="Times New Roman" w:hAnsi="Times New Roman" w:cs="Times New Roman"/>
        </w:rPr>
        <w:t>All groundfish and halibut vessels and processors may be required to accommodate one or</w:t>
      </w:r>
      <w:r>
        <w:rPr>
          <w:rStyle w:val="markedcontent"/>
          <w:rFonts w:ascii="Times New Roman" w:hAnsi="Times New Roman" w:cs="Times New Roman"/>
        </w:rPr>
        <w:t xml:space="preserve"> </w:t>
      </w:r>
      <w:r w:rsidRPr="00AB221B">
        <w:rPr>
          <w:rStyle w:val="markedcontent"/>
          <w:rFonts w:ascii="Times New Roman" w:hAnsi="Times New Roman" w:cs="Times New Roman"/>
        </w:rPr>
        <w:t>more NMFS-certified observers or an electronic monitoring system, in order to verify catch</w:t>
      </w:r>
      <w:r>
        <w:rPr>
          <w:rStyle w:val="markedcontent"/>
          <w:rFonts w:ascii="Times New Roman" w:hAnsi="Times New Roman" w:cs="Times New Roman"/>
        </w:rPr>
        <w:t xml:space="preserve"> </w:t>
      </w:r>
      <w:r w:rsidRPr="00AB221B">
        <w:rPr>
          <w:rStyle w:val="markedcontent"/>
          <w:rFonts w:ascii="Times New Roman" w:hAnsi="Times New Roman" w:cs="Times New Roman"/>
        </w:rPr>
        <w:t>composition and quantity, including catch discarded at sea, and to collect biological</w:t>
      </w:r>
      <w:r>
        <w:rPr>
          <w:rStyle w:val="markedcontent"/>
          <w:rFonts w:ascii="Times New Roman" w:hAnsi="Times New Roman" w:cs="Times New Roman"/>
        </w:rPr>
        <w:t xml:space="preserve"> </w:t>
      </w:r>
      <w:r w:rsidRPr="00AB221B">
        <w:rPr>
          <w:rStyle w:val="markedcontent"/>
          <w:rFonts w:ascii="Times New Roman" w:hAnsi="Times New Roman" w:cs="Times New Roman"/>
        </w:rPr>
        <w:t>information on marine resources. Vessels and processors are included in one of two</w:t>
      </w:r>
      <w:r>
        <w:rPr>
          <w:rStyle w:val="markedcontent"/>
          <w:rFonts w:ascii="Times New Roman" w:hAnsi="Times New Roman" w:cs="Times New Roman"/>
        </w:rPr>
        <w:t xml:space="preserve"> </w:t>
      </w:r>
      <w:r w:rsidRPr="00AB221B">
        <w:rPr>
          <w:rStyle w:val="markedcontent"/>
          <w:rFonts w:ascii="Times New Roman" w:hAnsi="Times New Roman" w:cs="Times New Roman"/>
        </w:rPr>
        <w:t>coverage categories: partial and full. Vessels and processors in the partial coverage</w:t>
      </w:r>
      <w:r>
        <w:rPr>
          <w:rStyle w:val="markedcontent"/>
          <w:rFonts w:ascii="Times New Roman" w:hAnsi="Times New Roman" w:cs="Times New Roman"/>
        </w:rPr>
        <w:t xml:space="preserve"> </w:t>
      </w:r>
      <w:r w:rsidRPr="00AB221B">
        <w:rPr>
          <w:rStyle w:val="markedcontent"/>
          <w:rFonts w:ascii="Times New Roman" w:hAnsi="Times New Roman" w:cs="Times New Roman"/>
        </w:rPr>
        <w:t>category are subject to an ex-vessel value-based fee not to exceed 2%, and are required to</w:t>
      </w:r>
      <w:r w:rsidRPr="00AB221B">
        <w:br/>
      </w:r>
      <w:r w:rsidRPr="00AB221B">
        <w:rPr>
          <w:rStyle w:val="markedcontent"/>
          <w:rFonts w:ascii="Times New Roman" w:hAnsi="Times New Roman" w:cs="Times New Roman"/>
        </w:rPr>
        <w:t>carry an observer or electronic monitoring system as determined by NMFS through an</w:t>
      </w:r>
      <w:r>
        <w:rPr>
          <w:rStyle w:val="markedcontent"/>
          <w:rFonts w:ascii="Times New Roman" w:hAnsi="Times New Roman" w:cs="Times New Roman"/>
        </w:rPr>
        <w:t xml:space="preserve"> </w:t>
      </w:r>
      <w:r w:rsidRPr="00AB221B">
        <w:rPr>
          <w:rStyle w:val="markedcontent"/>
          <w:rFonts w:ascii="Times New Roman" w:hAnsi="Times New Roman" w:cs="Times New Roman"/>
        </w:rPr>
        <w:t xml:space="preserve">Annual </w:t>
      </w:r>
      <w:r>
        <w:rPr>
          <w:rStyle w:val="markedcontent"/>
          <w:rFonts w:ascii="Times New Roman" w:hAnsi="Times New Roman" w:cs="Times New Roman"/>
        </w:rPr>
        <w:t>D</w:t>
      </w:r>
      <w:r w:rsidRPr="00AB221B">
        <w:rPr>
          <w:rStyle w:val="markedcontent"/>
          <w:rFonts w:ascii="Times New Roman" w:hAnsi="Times New Roman" w:cs="Times New Roman"/>
        </w:rPr>
        <w:t>eployment Plan. Vessels and processors in the full observer coverage category are</w:t>
      </w:r>
      <w:r>
        <w:rPr>
          <w:rStyle w:val="markedcontent"/>
          <w:rFonts w:ascii="Times New Roman" w:hAnsi="Times New Roman" w:cs="Times New Roman"/>
        </w:rPr>
        <w:t xml:space="preserve"> </w:t>
      </w:r>
      <w:r w:rsidRPr="00AB221B">
        <w:rPr>
          <w:rStyle w:val="markedcontent"/>
          <w:rFonts w:ascii="Times New Roman" w:hAnsi="Times New Roman" w:cs="Times New Roman"/>
        </w:rPr>
        <w:t>required to obtain observer coverage by contracting directly with observer providers</w:t>
      </w:r>
      <w:r w:rsidRPr="00570C83">
        <w:rPr>
          <w:rStyle w:val="markedcontent"/>
          <w:rFonts w:ascii="Times New Roman" w:hAnsi="Times New Roman" w:cs="Times New Roman"/>
          <w:b/>
          <w:bCs/>
        </w:rPr>
        <w:t>,</w:t>
      </w:r>
      <w:r w:rsidRPr="00570C83">
        <w:rPr>
          <w:rFonts w:ascii="Times New Roman" w:eastAsia="Times New Roman" w:hAnsi="Times New Roman" w:cs="Times New Roman"/>
          <w:b/>
          <w:bCs/>
        </w:rPr>
        <w:t xml:space="preserve"> </w:t>
      </w:r>
      <w:r w:rsidRPr="00AB221B">
        <w:rPr>
          <w:rFonts w:ascii="Times New Roman" w:eastAsia="Times New Roman" w:hAnsi="Times New Roman" w:cs="Times New Roman"/>
          <w:b/>
          <w:bCs/>
        </w:rPr>
        <w:t>or obtain electronic monitoring systems,</w:t>
      </w:r>
      <w:r w:rsidRPr="00AB221B">
        <w:rPr>
          <w:rStyle w:val="markedcontent"/>
          <w:rFonts w:ascii="Times New Roman" w:hAnsi="Times New Roman" w:cs="Times New Roman"/>
        </w:rPr>
        <w:t xml:space="preserve"> to meet</w:t>
      </w:r>
      <w:r>
        <w:rPr>
          <w:rStyle w:val="markedcontent"/>
          <w:rFonts w:ascii="Times New Roman" w:hAnsi="Times New Roman" w:cs="Times New Roman"/>
        </w:rPr>
        <w:t xml:space="preserve"> </w:t>
      </w:r>
      <w:r w:rsidRPr="00AB221B">
        <w:rPr>
          <w:rStyle w:val="markedcontent"/>
          <w:rFonts w:ascii="Times New Roman" w:hAnsi="Times New Roman" w:cs="Times New Roman"/>
        </w:rPr>
        <w:t>coverage requirements in regulation.</w:t>
      </w:r>
      <w:r w:rsidR="00D11379" w:rsidRPr="00D11379">
        <w:rPr>
          <w:rFonts w:ascii="Times New Roman" w:eastAsia="Times New Roman" w:hAnsi="Times New Roman" w:cs="Times New Roman"/>
        </w:rPr>
        <w:t xml:space="preserve"> </w:t>
      </w:r>
      <w:r w:rsidR="00D11379" w:rsidRPr="00D11379">
        <w:rPr>
          <w:rFonts w:ascii="Times New Roman" w:eastAsia="Times New Roman" w:hAnsi="Times New Roman" w:cs="Times New Roman"/>
          <w:b/>
        </w:rPr>
        <w:t>Tender vessels may be required to carry electronic monitoring to meet monitoring objectives aboard vessels in the full or partial coverage category.</w:t>
      </w:r>
    </w:p>
    <w:p w14:paraId="6F7459C5" w14:textId="77777777" w:rsidR="007D3918" w:rsidRDefault="007D3918" w:rsidP="007D3918">
      <w:pPr>
        <w:rPr>
          <w:rStyle w:val="markedcontent"/>
          <w:rFonts w:ascii="Times New Roman" w:hAnsi="Times New Roman" w:cs="Times New Roman"/>
        </w:rPr>
      </w:pPr>
      <w:r>
        <w:rPr>
          <w:rStyle w:val="markedcontent"/>
          <w:rFonts w:ascii="Times New Roman" w:hAnsi="Times New Roman" w:cs="Times New Roman"/>
        </w:rPr>
        <w:t>3. In Appendix A, add the following text:</w:t>
      </w:r>
    </w:p>
    <w:p w14:paraId="6DFFEAAC" w14:textId="77777777" w:rsidR="007B1846" w:rsidRDefault="007D3918" w:rsidP="007D3918">
      <w:pPr>
        <w:rPr>
          <w:rStyle w:val="markedcontent"/>
          <w:rFonts w:ascii="Times New Roman" w:hAnsi="Times New Roman" w:cs="Times New Roman"/>
        </w:rPr>
      </w:pPr>
      <w:r w:rsidRPr="007D3918">
        <w:rPr>
          <w:rStyle w:val="markedcontent"/>
          <w:rFonts w:ascii="Times New Roman" w:hAnsi="Times New Roman" w:cs="Times New Roman"/>
          <w:u w:val="single"/>
        </w:rPr>
        <w:lastRenderedPageBreak/>
        <w:t>Amendment 126</w:t>
      </w:r>
      <w:r>
        <w:rPr>
          <w:rStyle w:val="markedcontent"/>
          <w:rFonts w:ascii="Times New Roman" w:hAnsi="Times New Roman" w:cs="Times New Roman"/>
        </w:rPr>
        <w:t>, implemented on (</w:t>
      </w:r>
      <w:r w:rsidRPr="00343213">
        <w:rPr>
          <w:rStyle w:val="markedcontent"/>
          <w:rFonts w:ascii="Times New Roman" w:hAnsi="Times New Roman" w:cs="Times New Roman"/>
          <w:i/>
          <w:iCs/>
        </w:rPr>
        <w:t>insert effective date of amendment</w:t>
      </w:r>
      <w:r>
        <w:rPr>
          <w:rStyle w:val="markedcontent"/>
          <w:rFonts w:ascii="Times New Roman" w:hAnsi="Times New Roman" w:cs="Times New Roman"/>
        </w:rPr>
        <w:t>), revising Amendment 86:</w:t>
      </w:r>
    </w:p>
    <w:p w14:paraId="5DA4BF45" w14:textId="4560F08D" w:rsidR="007D3918" w:rsidRDefault="007B1846" w:rsidP="007D3918">
      <w:pPr>
        <w:rPr>
          <w:rStyle w:val="markedcontent"/>
          <w:rFonts w:ascii="Times New Roman" w:hAnsi="Times New Roman" w:cs="Times New Roman"/>
        </w:rPr>
      </w:pPr>
      <w:r>
        <w:rPr>
          <w:rStyle w:val="markedcontent"/>
          <w:rFonts w:ascii="Times New Roman" w:hAnsi="Times New Roman" w:cs="Times New Roman"/>
        </w:rPr>
        <w:t>Allows</w:t>
      </w:r>
      <w:r w:rsidR="007D3918">
        <w:rPr>
          <w:rStyle w:val="markedcontent"/>
          <w:rFonts w:ascii="Times New Roman" w:hAnsi="Times New Roman" w:cs="Times New Roman"/>
        </w:rPr>
        <w:t xml:space="preserve"> the use of electronic monitoring systems to meet observer coverage requirements for vessels in the full observer coverage category.</w:t>
      </w:r>
      <w:r w:rsidR="00C15F93" w:rsidRPr="00C15F93">
        <w:rPr>
          <w:rStyle w:val="markedcontent"/>
          <w:rFonts w:ascii="Times New Roman" w:hAnsi="Times New Roman" w:cs="Times New Roman"/>
          <w:b/>
        </w:rPr>
        <w:t xml:space="preserve"> </w:t>
      </w:r>
      <w:r w:rsidR="00C15F93">
        <w:rPr>
          <w:rStyle w:val="markedcontent"/>
          <w:rFonts w:ascii="Times New Roman" w:hAnsi="Times New Roman" w:cs="Times New Roman"/>
          <w:b/>
        </w:rPr>
        <w:t>Specifies that tender vessels may be required to carry electronic monitoring to meet monitoring objectives aboard vessels in the full or partial coverage category.</w:t>
      </w:r>
      <w:bookmarkStart w:id="0" w:name="_GoBack"/>
      <w:bookmarkEnd w:id="0"/>
    </w:p>
    <w:p w14:paraId="6A3691FC" w14:textId="77777777" w:rsidR="00007CFA" w:rsidRDefault="00007CFA"/>
    <w:sectPr w:rsidR="00007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18"/>
    <w:rsid w:val="00007CFA"/>
    <w:rsid w:val="002B6CCA"/>
    <w:rsid w:val="00476CF1"/>
    <w:rsid w:val="007B1846"/>
    <w:rsid w:val="007D3918"/>
    <w:rsid w:val="009C6B60"/>
    <w:rsid w:val="00A33A8E"/>
    <w:rsid w:val="00C15F93"/>
    <w:rsid w:val="00D11379"/>
    <w:rsid w:val="00D1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0306"/>
  <w15:chartTrackingRefBased/>
  <w15:docId w15:val="{65097D7A-149D-45BF-BB26-6133693B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7D3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henry</dc:creator>
  <cp:keywords/>
  <dc:description/>
  <cp:lastModifiedBy>Joel.Kraski</cp:lastModifiedBy>
  <cp:revision>3</cp:revision>
  <dcterms:created xsi:type="dcterms:W3CDTF">2024-01-05T00:02:00Z</dcterms:created>
  <dcterms:modified xsi:type="dcterms:W3CDTF">2024-01-08T18:10:00Z</dcterms:modified>
</cp:coreProperties>
</file>